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203</w:t>
      </w:r>
    </w:p>
    <w:p>
      <w:r>
        <w:t>Bundesgericht (BGE), 1997-12-19, DE</w:t>
      </w:r>
    </w:p>
    <w:p>
      <w:r>
        <w:rPr>
          <w:b/>
        </w:rPr>
        <w:t xml:space="preserve">Quelle: </w:t>
      </w:r>
      <w:r>
        <w:t>https://mcp.opencaselaw.ch/entscheid/bge_124 I 203</w:t>
      </w:r>
    </w:p>
    <w:p>
      <w:r>
        <w:t>FR: ATF 124 I 203</w:t>
      </w:r>
    </w:p>
    <w:p>
      <w:r>
        <w:t>IT: DTF 124 I 203</w:t>
      </w:r>
    </w:p>
    <w:p>
      <w:pPr>
        <w:pStyle w:val="Heading2"/>
      </w:pPr>
      <w:r>
        <w:t>Regeste</w:t>
      </w:r>
    </w:p>
    <w:p>
      <w:r>
        <w:t>Regeste Persönliche Freiheit (Recht des Gefangenen auf Bargeldbesitz; Zulässigkeit einer disziplinarischen Besuchssperre). Die verfassungsrechtlichen Schranken für Eingriffe in die Freiheitsrechte gelten auch bezüglich des Bargeldbesitzes von Gefangenen (E. 2b-c). Die Weisung der Direktion der kantonalen Strafanstalt Pöschwies vom 20. Februar 1995 betreffend das Mitführen von Bargeld bei Besuchen liegt im öffentlichen Interesse und stützt sich auf eine ausreichende gesetzliche Grundlage (E. 2d-f). Zulässigkeit von angemessenen Disziplinarsanktionen zur Durchsetzung der Weisung vom 20. Februar 1995. Das im vorliegenden Fall verhängte disziplinarische Besuchsverbot von einem Monat Dauer erscheint nicht als unverhältnismässiger Eingriff in die persönliche Freiheit des betroffenen Gefangenen (E. 4).</w:t>
      </w:r>
    </w:p>
    <w:p>
      <w:pPr>
        <w:pStyle w:val="Heading2"/>
      </w:pPr>
      <w:r>
        <w:t>Erwägungen</w:t>
      </w:r>
    </w:p>
    <w:p>
      <w:r>
        <w:rPr>
          <w:b/>
        </w:rPr>
        <w:t>E. 2</w:t>
      </w:r>
    </w:p>
    <w:p>
      <w:r>
        <w:t>Das auf sich getragene Geld von dagegen zuwiderhandelnden Insassen wird sichergestellt, und der fehlbare Insasse wird diszipliniert." e) Die Weisung vom 20. Februar 1995 liegt im Interesse der Sicherheit des Gefängnisses und der Haftzwecke. Es handelt sich um eine sachlich angemessene Vorkehr gegen das Ein- und Ausschmuggeln grösserer Bargeldbeträge. Damit sollen insbesondere Kollusions- und Fluchtvorbereitungshandlungen sowie Aktivitäten im Hinblick auf illegale Geschäfte (namentlich Drogenhandel) unterbunden werden. Es stellt keine unzulässige Einschränkung der persönlichen Freiheit dar, wenn die Gefangenen vor dem Betreten des Besucherpavillons den Fr. 20.-- übersteigenden Betrag ihres Bargeldes vorübergehend in ihrer abschliessbaren Einzelzelle oder bei der Gefängnisleitung deponieren müssen. Die streitige Weisung kann sich somit auf § 65 VoSP stützen, wonach der Direktor der Anstalt die für die Wahrung der Sicherheit notwendigen Weisungen BGE 124 I 203 S. 207 erteilen kann. Die streitige Weisung selbst ist ausreichend klar und deutlich formuliert. Die Anstaltsordnung als materielles Gesetz findet ihre formellrechtliche Grundlage wiederum im zürcherischen Straf- und Vollzugsgesetz vom 30. Juni 1974 (StVG [LS 331], § 29 Abs. 1 und § 30 Abs. 1 StVG ). Der Beschwerdeführer verkennt, dass die Weisung der Anstaltsdirektion das Recht der Gefangenen auf Bargeldbesitz nicht generell sondern lediglich für den Fall von Besuchen einschränkt. Während §§ 17-21 VoSP für den Anstaltsbetrieb im allgemeinen gelten, bezieht sich die Weisung lediglich auf den Spezialfall der Besuche. Die aus Sicherheitsgründen erlassene und auf die Dauer der Besuche beschränkte Weisung widerspricht demnach auch nicht § 19 Abs. 2 VoSP, wonach der im allgemeinen zulässige Bargeldbetrag von der Justizdirektion festgelegt wird. f) Nach dem Gesagten erweist sich die Rüge, die Weisung vom 20. Februar 1995 habe keine ausreichende gesetzliche Grundlage, als unbegründet.</w:t>
      </w:r>
    </w:p>
    <w:p>
      <w:r>
        <w:rPr>
          <w:b/>
        </w:rPr>
        <w:t>E. 3</w:t>
      </w:r>
    </w:p>
    <w:p>
      <w:r>
        <w:t>... (Verfassungskonformität der Annahme eines Disziplinarvergehens bejaht.)</w:t>
      </w:r>
    </w:p>
    <w:p>
      <w:r>
        <w:rPr>
          <w:b/>
        </w:rPr>
        <w:t>E. 4</w:t>
      </w:r>
    </w:p>
    <w:p>
      <w:r>
        <w:t>Schliesslich rügt der Beschwerdeführer, die angefochtene disziplinarische Besuchssperre von einem Monat Dauer verstosse gegen das aus der persönlichen Freiheit abzuleitende (und in § 46 VoSP ausdrücklich verankerte) Recht des Gefangenen auf Empfang von Besuchen. Die Schwere der Sanktion sei zudem unverhältnismässig und sachlich unhaltbar. Auch diese Rüge erweist sich als unbegründet. a) Wie bereits erwähnt, dürfen die Grundrechte der Gefangenen soweit eingeschränkt werden, als es zur Wahrung der Sicherheit des Gefängnisses sachlich notwendig erscheint (vgl. oben, E. 2b). Nötigenfalls sind zur Durchsetzung der Gefängnisordnung auch angemessene Disziplinarsanktionen zulässig ( BGE 118 Ia 64 E. 3r S. 88 f.). Wie in Erwägung 3 dargelegt, hat der Beschwerdeführer eine gültige Weisung der Anstaltsdirektion betreffend das Mitführen von Bargeld bei Besuchen missachtet; die Ausfällung einer disziplinarischen Besuchssperre ist nach dem anwendbaren kantonalen Recht zulässig. b) Ein Besuchsverbot von einem Monat Dauer erscheint im vorliegenden Fall nicht als unverhältnismässig schwerer Eingriff in die persönliche Freiheit des Beschwerdeführers. Die Gefangenen in der Strafanstalt Pöschwies dürfen grundsätzlich alle zwei Wochen einen Besuch naher Angehöriger empfangen (§ 46 Abs. 1 VoSP). Das BGE 124 I 203 S. 208 Gesetz lässt eine disziplinarische Besuchssperre bis zu drei Monaten zu (§ 58 Abs. 1 lit. e VoSP). Angesichts der dargelegten Umstände liegt hier kein schwerer Disziplinarverstoss vor. Die Ausfällung einer einmonatigen Besuchssperre ist sachlich vertretbar. Der Beschwerdeführer macht zwar geltend, seine Schwester sei vergeblich aus den USA in die Schweiz gereist und auch sein in Frankreich lebender Halbbruder habe ihn über Weihnachten 1997 besuchen wollen. Gemäss den Darlegungen der kantonalen Behörden hat der Beschwerdeführer die Gefängnisleitung jedoch nicht über die angeblich geplanten Besuche informiert. Ausserdem hat er sich am 20. Dezember 1997 mit dem sofortigen Vollzug der Besuchssperre unterschriftlich einverstanden erklärt. Wenn er die Erklärung vom 20. Dezember 1997 unterzeichnet hat, ohne deren Inhalt zu verstehen bzw. ohne deren Erläuterung oder Übersetzung in seine Muttersprache zu verlangen, kann er den kantonalen Behörden nicht vorwerfen, der sofortige Vollzug der Besuchssperre sei unverhältnismässig hart gewesen. c) Unter den gegebenen Umständen hält die angefochtene Disziplinarverfügung vor der Verfassung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